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中共淮北市组织部2024年</w:t>
      </w: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单位预算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44"/>
          <w:szCs w:val="44"/>
        </w:r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2024年2月</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pPr>
        <w:rPr>
          <w:rFonts w:hint="default" w:ascii="Times New Roman" w:hAnsi="Times New Roman" w:cs="Times New Roman"/>
        </w:rPr>
      </w:pPr>
    </w:p>
    <w:p>
      <w:pPr>
        <w:pStyle w:val="4"/>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部门（单位）概况</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2、部门（单位）预算构成</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、2024年度主要工作任务</w:t>
      </w:r>
    </w:p>
    <w:p>
      <w:pPr>
        <w:pStyle w:val="4"/>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2024年部门（单位）预算表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1、中共淮北市组织部2024年收支总表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2、中共淮北市组织部2024年收入总表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3、中共淮北市组织部2024年支出总表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4、中共淮北市组织部2024年财政拨款收支总表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5、中共淮北市组织部2024年一般公共预算支出表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6、中共淮北市组织部2024年一般公共预算基本支出表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7、中共淮北市组织部2024年政府性基金预算支出表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8、中共淮北市组织部2024年国有资本经营预算支出表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9、中共淮北市组织部2024年项目支出表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10、中共淮北市组织部2024年政府采购支出表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11、中共淮北市组织部2024年政府购买服务支出表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12、中共淮北市组织部</w:t>
      </w:r>
      <w:r>
        <w:rPr>
          <w:rFonts w:hint="default" w:ascii="Times New Roman" w:hAnsi="Times New Roman" w:eastAsia="仿宋_GB2312" w:cs="Times New Roman"/>
          <w:bCs/>
          <w:sz w:val="32"/>
          <w:szCs w:val="32"/>
        </w:rPr>
        <w:t>2024年通用资产配置支出表</w:t>
      </w:r>
    </w:p>
    <w:p>
      <w:pPr>
        <w:pStyle w:val="4"/>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2024年部门（单位）预算情况说明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pPr>
        <w:pStyle w:val="4"/>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pPr>
        <w:pStyle w:val="4"/>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1、中共淮北市组织部2024年部门预算纳入绩效考评项目表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2、中共淮北市组织部2024年部门预算专项资金管理清单（专栏公开）</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部门（单位）概况</w:t>
      </w:r>
    </w:p>
    <w:p>
      <w:pPr>
        <w:rPr>
          <w:rFonts w:hint="default" w:ascii="Times New Roman" w:hAnsi="Times New Roman" w:cs="Times New Roman"/>
        </w:rPr>
      </w:pP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研究和指导全市党的组织建设特别是党的基层组织建设；研究指导企业、街道社区、新经济组织、新社会组织、机关、农村、学校等基层组织设置和活动方式；协调、规划和指导党员教育工作，主管党员的管理和发展工作；组织、协调新时期党建工作新情况、新问题和党建理论的研究，提出加强党的思想、组织、作风建设的意见和建议。</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负责办理我市由省委管理的干部职务任免、工资、退（离）休报批手续；提出对市委管理的领导班子调整配备的意见和建议；负责市管干部的选拔、考察工作，办理其任免、工资、退（离）休审批手续；组织实施公开选拔市管干部和指导协调全市公开选拔领导干部工作；指导科级干部的备案审查和宏观管理工作；承办部分干部的调配、交流及安置事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（三）研究贯彻中央、省委、市委制定的干部队伍建设的方针、政策，组织落实培养选拔中、青年干部工作。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四</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研究和宏观指导全市党的组织制度和干部人事制度的改革，制定或参与制定我市组织、干部、人事工作的重要政策和制度。</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五</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负责全市组织、干部工作的督促检查，及时向市委反映重要情况，提出建议。</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（六）负责全市干部教育工作，研究制定我市干部教育的政策、规划；组织市委管理的干部和一定层次的中、青年干部以及组织部门工作人员的培训。</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（七）负责全市人才工作。研究和宏观指导全市人才工作，研究制定我市人才工作的政策、规划；调查了解人才工作情况，检查贯彻执行人才工作政策的情况，组织协调有关部门共同开展人才工作。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八</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对企业经营管理者队伍的建设进行宏观管理和指导；探索建立企业经营管理者人才市场。</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九</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负责全市党的机关、人大、政协、法院、检察院和民主党派机关和工商联机关的公务员管理工作，负责人民团体、群众团体和分工范围内事业单位机关工作人员参照公务员法管理工作。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（十）负责全市领导干部监督工作的综合、协调和指导，制定或参与制定干部监督的制度和规定；对干部选拔任用工作和领导干部进行监督。</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十一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管理市委老干部局。指导退（离）休干部宏观管理工作。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（十二）完成市委和省委组织部交办的其他任务。</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二、部门（单位）预算构成</w:t>
      </w:r>
    </w:p>
    <w:p>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从预算单位构成看，中共淮北市组织部2024年度部门预算仅包括本级预算，无其他下属单位预算。</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三、2024年度主要工作任务</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做好基层党建工作；强化各级领导班子建设；加大优秀年轻干部培养选拔力度；加强党的建设制度改革工作；认真组织十九大精神学习培训；不断提高干部教育培训工作实效；健全干部考核评价体系；完善干部选拔任用工作制度；强化干部选拔任用工作监督；加强领导干部日常管理监督；完善干部监督工作机制；加强人才工作宏观指导；夯实农村基层组织建设基础；提升城市基层党建工作水平；推进党员电化教育和远程教育工作；加强组工干部队伍建设。</w:t>
      </w: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2024年部门（单位）预算表</w:t>
      </w:r>
    </w:p>
    <w:p>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pPr>
        <w:rPr>
          <w:rFonts w:hint="default" w:ascii="Times New Roman" w:hAnsi="Times New Roman" w:cs="Times New Roman"/>
        </w:rPr>
      </w:pPr>
      <w:r>
        <w:rPr>
          <w:rFonts w:hint="default" w:ascii="Times New Roman" w:hAnsi="Times New Roman" w:cs="Times New Roman"/>
        </w:rPr>
        <w:t xml:space="preserve">                                        </w:t>
      </w: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2024年部门（单位）预算情况说明</w:t>
      </w:r>
    </w:p>
    <w:p>
      <w:pPr>
        <w:rPr>
          <w:rFonts w:hint="default" w:ascii="Times New Roman" w:hAnsi="Times New Roman" w:cs="Times New Roman"/>
        </w:rPr>
      </w:pP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按照综合预算的原则，中共淮北市组织部所有收入和支出均纳入单位预算管理。中共淮北市组织部2024年收支总预算3110.36万元，收入</w:t>
      </w:r>
      <w:r>
        <w:rPr>
          <w:rFonts w:hint="default" w:ascii="Times New Roman" w:hAnsi="Times New Roman" w:cs="Times New Roman"/>
          <w:sz w:val="32"/>
          <w:szCs w:val="32"/>
        </w:rPr>
        <w:t>全部是</w:t>
      </w:r>
      <w:r>
        <w:rPr>
          <w:rFonts w:hint="default" w:ascii="Times New Roman" w:hAnsi="Times New Roman" w:eastAsia="仿宋_GB2312" w:cs="Times New Roman"/>
          <w:sz w:val="32"/>
          <w:szCs w:val="32"/>
        </w:rPr>
        <w:t>一般公共预算拨款收入3110.36万元，支出包括：一般公共服务支出、社会保障和就业支出、卫生健康支出、住房保障支出。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二、关于2024年收入总表的说明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中共淮北市组织部2024年收入预算</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w:t>
      </w:r>
    </w:p>
    <w:p>
      <w:pPr>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主要包括：一般公共预算拨款收入3110.36万元，占100%，比2023年预算增加654.58万元，增长26.65%，原因主要是增加项目支出；政府</w:t>
      </w:r>
      <w:bookmarkStart w:id="0" w:name="_GoBack"/>
      <w:bookmarkEnd w:id="0"/>
      <w:r>
        <w:rPr>
          <w:rFonts w:hint="default" w:ascii="Times New Roman" w:hAnsi="Times New Roman" w:eastAsia="仿宋_GB2312" w:cs="Times New Roman"/>
          <w:kern w:val="0"/>
          <w:sz w:val="32"/>
          <w:szCs w:val="32"/>
        </w:rPr>
        <w:t>性基金预算拨款收入0万元，占0%，比2023年预算增加0万元，增长0%；财政专户管理资金收入0万元，占0%，比2023年预算增加0万元，增长0%。</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支出预算3110.36万元，比2023年预算增加654.58万元，增长26.65%，原因主要是增加项目支出。其中，基本支出942.36万元，占30.3%，主要用于保障机构日常运转、完成日常工作任务；项目支出2168万元，占69.7%，主要用于人才开发、社区服务群众、干部培训等项目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中共淮北市组织部2024年财政拨款收支预算</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万元、政府性基金预算拨款0万元；按资金年度分为：本年财政拨款收入</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万元。支出按功能分类分为：一般公共服务支出2799.15万元，占89.99%；社会保障和就业支出134.1万元，占4.31%；卫生健康支出40.33万元，占1.3%；住房保障支出136.77万元，占4.4%。</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五、关于2024年一般公共预算支出表的说明</w:t>
      </w:r>
    </w:p>
    <w:p>
      <w:pPr>
        <w:pStyle w:val="4"/>
        <w:adjustRightInd w:val="0"/>
        <w:snapToGrid w:val="0"/>
        <w:spacing w:line="560" w:lineRule="exact"/>
        <w:ind w:firstLine="629"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中共淮北市组织部2024年一般公共预算支出3110.36万元，比2023年预算增加654.58万元，增长26.65%，原因主要是增加项目支出。</w:t>
      </w:r>
    </w:p>
    <w:p>
      <w:pPr>
        <w:pStyle w:val="4"/>
        <w:adjustRightInd w:val="0"/>
        <w:snapToGrid w:val="0"/>
        <w:spacing w:line="560" w:lineRule="exact"/>
        <w:ind w:firstLine="629"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w:t>
      </w:r>
      <w:r>
        <w:rPr>
          <w:rFonts w:hint="default" w:ascii="Times New Roman" w:hAnsi="Times New Roman" w:eastAsia="仿宋_GB2312" w:cs="Times New Roman"/>
          <w:sz w:val="32"/>
          <w:szCs w:val="32"/>
        </w:rPr>
        <w:t>一般公共预算支出结构情况</w:t>
      </w:r>
      <w:r>
        <w:rPr>
          <w:rFonts w:hint="default" w:ascii="Times New Roman" w:hAnsi="Times New Roman" w:eastAsia="楷体_GB2312" w:cs="Times New Roman"/>
          <w:b/>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一般公共服务支出2799.15万元，占89.99%；社会保障和就业支出134.1万元，占4.31%；卫生健康支出40.33万元，占1.3%；住房保障支出136.77万元，占4.4%。</w:t>
      </w:r>
    </w:p>
    <w:p>
      <w:pPr>
        <w:pStyle w:val="4"/>
        <w:adjustRightInd w:val="0"/>
        <w:snapToGrid w:val="0"/>
        <w:spacing w:line="560" w:lineRule="exact"/>
        <w:ind w:firstLine="629"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1、一般公共服务支出（类）组织事务（款）行政运行（项）2024年预算631.15万元，比2023年预算</w:t>
      </w:r>
      <w:r>
        <w:rPr>
          <w:rFonts w:hint="default" w:ascii="Times New Roman" w:hAnsi="Times New Roman" w:eastAsia="仿宋_GB2312" w:cs="Times New Roman"/>
          <w:kern w:val="0"/>
          <w:sz w:val="32"/>
          <w:szCs w:val="32"/>
        </w:rPr>
        <w:t>减少71.66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rPr>
        <w:t>下降10.2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人员变动减资额</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、一般公共服务支出（类）组织事务（款）一般行政管理事务（项）2024年预算2168万元，比2023年预算增加</w:t>
      </w:r>
      <w:r>
        <w:rPr>
          <w:rFonts w:hint="default" w:ascii="Times New Roman" w:hAnsi="Times New Roman" w:eastAsia="仿宋_GB2312" w:cs="Times New Roman"/>
          <w:kern w:val="0"/>
          <w:sz w:val="32"/>
          <w:szCs w:val="32"/>
        </w:rPr>
        <w:t>715</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49.21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增加支出项目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、社会保障和就业支出（类）行政事业单位养老支出（款）</w:t>
      </w:r>
      <w:r>
        <w:rPr>
          <w:rFonts w:hint="default" w:ascii="Times New Roman" w:hAnsi="Times New Roman" w:eastAsia="仿宋_GB2312" w:cs="Times New Roman"/>
          <w:kern w:val="0"/>
          <w:sz w:val="32"/>
          <w:szCs w:val="32"/>
        </w:rPr>
        <w:t>行政单位离退休</w:t>
      </w:r>
      <w:r>
        <w:rPr>
          <w:rFonts w:hint="default" w:ascii="Times New Roman" w:hAnsi="Times New Roman" w:eastAsia="仿宋_GB2312" w:cs="Times New Roman"/>
          <w:kern w:val="0"/>
          <w:sz w:val="32"/>
          <w:szCs w:val="32"/>
        </w:rPr>
        <w:t>（项）2024年预算14.93万元，比2023年预算</w:t>
      </w:r>
      <w:r>
        <w:rPr>
          <w:rFonts w:hint="default" w:ascii="Times New Roman" w:hAnsi="Times New Roman" w:eastAsia="仿宋_GB2312" w:cs="Times New Roman"/>
          <w:kern w:val="0"/>
          <w:sz w:val="32"/>
          <w:szCs w:val="32"/>
        </w:rPr>
        <w:t>减少2.58</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rPr>
        <w:t>下降14.3</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人员变动减资额</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、社会保障和就业支出（类）行政事业单位养老支出（款）</w:t>
      </w:r>
      <w:r>
        <w:rPr>
          <w:rFonts w:hint="default" w:ascii="Times New Roman" w:hAnsi="Times New Roman" w:eastAsia="仿宋_GB2312" w:cs="Times New Roman"/>
          <w:kern w:val="0"/>
          <w:sz w:val="32"/>
          <w:szCs w:val="32"/>
        </w:rPr>
        <w:t>机关事业单位基本养老保险缴费支出</w:t>
      </w:r>
      <w:r>
        <w:rPr>
          <w:rFonts w:hint="default" w:ascii="Times New Roman" w:hAnsi="Times New Roman" w:eastAsia="仿宋_GB2312" w:cs="Times New Roman"/>
          <w:kern w:val="0"/>
          <w:sz w:val="32"/>
          <w:szCs w:val="32"/>
        </w:rPr>
        <w:t>（项）2024年预算</w:t>
      </w:r>
      <w:r>
        <w:rPr>
          <w:rFonts w:hint="default" w:ascii="Times New Roman" w:hAnsi="Times New Roman" w:eastAsia="仿宋_GB2312" w:cs="Times New Roman"/>
          <w:kern w:val="0"/>
          <w:sz w:val="32"/>
          <w:szCs w:val="32"/>
        </w:rPr>
        <w:t xml:space="preserve"> 78.95       </w:t>
      </w:r>
      <w:r>
        <w:rPr>
          <w:rFonts w:hint="default" w:ascii="Times New Roman" w:hAnsi="Times New Roman" w:eastAsia="仿宋_GB2312" w:cs="Times New Roman"/>
          <w:kern w:val="0"/>
          <w:sz w:val="32"/>
          <w:szCs w:val="32"/>
        </w:rPr>
        <w:t>万元，比2023年预算</w:t>
      </w:r>
      <w:r>
        <w:rPr>
          <w:rFonts w:hint="default" w:ascii="Times New Roman" w:hAnsi="Times New Roman" w:eastAsia="仿宋_GB2312" w:cs="Times New Roman"/>
          <w:kern w:val="0"/>
          <w:sz w:val="32"/>
          <w:szCs w:val="32"/>
        </w:rPr>
        <w:t>减少3.98</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rPr>
        <w:t>下降4.8</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人员变动减资额</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、社会保障和就业支出（类）行政事业单位养老支出（款）</w:t>
      </w:r>
      <w:r>
        <w:rPr>
          <w:rFonts w:hint="default" w:ascii="Times New Roman" w:hAnsi="Times New Roman" w:eastAsia="仿宋_GB2312" w:cs="Times New Roman"/>
          <w:kern w:val="0"/>
          <w:sz w:val="32"/>
          <w:szCs w:val="32"/>
        </w:rPr>
        <w:t>机关事业单位职业年金缴费支出</w:t>
      </w:r>
      <w:r>
        <w:rPr>
          <w:rFonts w:hint="default" w:ascii="Times New Roman" w:hAnsi="Times New Roman" w:eastAsia="仿宋_GB2312" w:cs="Times New Roman"/>
          <w:kern w:val="0"/>
          <w:sz w:val="32"/>
          <w:szCs w:val="32"/>
        </w:rPr>
        <w:t>（项）2024年预算39.47万元，比2023年预算</w:t>
      </w:r>
      <w:r>
        <w:rPr>
          <w:rFonts w:hint="default" w:ascii="Times New Roman" w:hAnsi="Times New Roman" w:eastAsia="仿宋_GB2312" w:cs="Times New Roman"/>
          <w:kern w:val="0"/>
          <w:sz w:val="32"/>
          <w:szCs w:val="32"/>
        </w:rPr>
        <w:t>减少1.99</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rPr>
        <w:t>下降4.8</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人员变动减资额</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rPr>
        <w:t>、社会保障和就业支出（类）　其他社会保障和就业支出（款）</w:t>
      </w:r>
      <w:r>
        <w:rPr>
          <w:rFonts w:hint="default" w:ascii="Times New Roman" w:hAnsi="Times New Roman" w:eastAsia="仿宋_GB2312" w:cs="Times New Roman"/>
          <w:kern w:val="0"/>
          <w:sz w:val="32"/>
          <w:szCs w:val="32"/>
        </w:rPr>
        <w:t>其他社会保障和就业支出</w:t>
      </w:r>
      <w:r>
        <w:rPr>
          <w:rFonts w:hint="default" w:ascii="Times New Roman" w:hAnsi="Times New Roman" w:eastAsia="仿宋_GB2312" w:cs="Times New Roman"/>
          <w:kern w:val="0"/>
          <w:sz w:val="32"/>
          <w:szCs w:val="32"/>
        </w:rPr>
        <w:t>（项）2024年预算0.75万元，比2023年预算</w:t>
      </w:r>
      <w:r>
        <w:rPr>
          <w:rFonts w:hint="default" w:ascii="Times New Roman" w:hAnsi="Times New Roman" w:eastAsia="仿宋_GB2312" w:cs="Times New Roman"/>
          <w:kern w:val="0"/>
          <w:sz w:val="32"/>
          <w:szCs w:val="32"/>
        </w:rPr>
        <w:t>减少0.1</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rPr>
        <w:t>下降11.76</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人员变动减资额</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rPr>
        <w:t>卫生健康支出（类）行政事业单位医疗（款）行政单位医疗（项）2024年预算29.11万元，比2023年预算</w:t>
      </w:r>
      <w:r>
        <w:rPr>
          <w:rFonts w:hint="default" w:ascii="Times New Roman" w:hAnsi="Times New Roman" w:eastAsia="仿宋_GB2312" w:cs="Times New Roman"/>
          <w:kern w:val="0"/>
          <w:sz w:val="32"/>
          <w:szCs w:val="32"/>
        </w:rPr>
        <w:t>减少1.93</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rPr>
        <w:t>下降6.22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人员变动减资额</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rPr>
        <w:t>卫生健康支出（类）行政事业单位医疗（款）公务员医疗补助（项）2024年预算11.22万元，比2023年预算</w:t>
      </w:r>
      <w:r>
        <w:rPr>
          <w:rFonts w:hint="default" w:ascii="Times New Roman" w:hAnsi="Times New Roman" w:eastAsia="仿宋_GB2312" w:cs="Times New Roman"/>
          <w:kern w:val="0"/>
          <w:sz w:val="32"/>
          <w:szCs w:val="32"/>
        </w:rPr>
        <w:t>减少0.89</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rPr>
        <w:t>下降7.35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人员变动减资额</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w:t>
      </w:r>
      <w:r>
        <w:rPr>
          <w:rFonts w:hint="default" w:ascii="Times New Roman" w:hAnsi="Times New Roman" w:eastAsia="仿宋_GB2312" w:cs="Times New Roman"/>
          <w:kern w:val="0"/>
          <w:sz w:val="32"/>
          <w:szCs w:val="32"/>
        </w:rPr>
        <w:t>、住房保障支出（类）住房改革支出（款）住房公积金（项）2024年预算</w:t>
      </w:r>
      <w:r>
        <w:rPr>
          <w:rFonts w:hint="default" w:ascii="Times New Roman" w:hAnsi="Times New Roman" w:eastAsia="仿宋_GB2312" w:cs="Times New Roman"/>
          <w:kern w:val="0"/>
          <w:sz w:val="32"/>
          <w:szCs w:val="32"/>
        </w:rPr>
        <w:t xml:space="preserve"> 82.06</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rPr>
        <w:t>5.44</w:t>
      </w:r>
      <w:r>
        <w:rPr>
          <w:rFonts w:hint="default" w:ascii="Times New Roman" w:hAnsi="Times New Roman" w:eastAsia="仿宋_GB2312" w:cs="Times New Roman"/>
          <w:kern w:val="0"/>
          <w:sz w:val="32"/>
          <w:szCs w:val="32"/>
        </w:rPr>
        <w:t>万元，增长7.1%，原因主要是</w:t>
      </w:r>
      <w:r>
        <w:rPr>
          <w:rFonts w:hint="default" w:ascii="Times New Roman" w:hAnsi="Times New Roman" w:eastAsia="仿宋_GB2312" w:cs="Times New Roman"/>
          <w:kern w:val="0"/>
          <w:sz w:val="32"/>
          <w:szCs w:val="32"/>
        </w:rPr>
        <w:t>2024年度公积金基数调整增资额</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w:t>
      </w:r>
      <w:r>
        <w:rPr>
          <w:rFonts w:hint="default" w:ascii="Times New Roman" w:hAnsi="Times New Roman" w:eastAsia="仿宋_GB2312" w:cs="Times New Roman"/>
          <w:kern w:val="0"/>
          <w:sz w:val="32"/>
          <w:szCs w:val="32"/>
        </w:rPr>
        <w:t>、住房保障支出（类）住房改革支出（款）</w:t>
      </w:r>
      <w:r>
        <w:rPr>
          <w:rFonts w:hint="default" w:ascii="Times New Roman" w:hAnsi="Times New Roman" w:eastAsia="仿宋_GB2312" w:cs="Times New Roman"/>
          <w:kern w:val="0"/>
          <w:sz w:val="32"/>
          <w:szCs w:val="32"/>
        </w:rPr>
        <w:t>提租补贴</w:t>
      </w:r>
      <w:r>
        <w:rPr>
          <w:rFonts w:hint="default" w:ascii="Times New Roman" w:hAnsi="Times New Roman" w:eastAsia="仿宋_GB2312" w:cs="Times New Roman"/>
          <w:kern w:val="0"/>
          <w:sz w:val="32"/>
          <w:szCs w:val="32"/>
        </w:rPr>
        <w:t>（项）2024年预算</w:t>
      </w:r>
      <w:r>
        <w:rPr>
          <w:rFonts w:hint="default" w:ascii="Times New Roman" w:hAnsi="Times New Roman" w:eastAsia="仿宋_GB2312" w:cs="Times New Roman"/>
          <w:kern w:val="0"/>
          <w:sz w:val="32"/>
          <w:szCs w:val="32"/>
        </w:rPr>
        <w:t xml:space="preserve"> 20.52</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rPr>
        <w:t>20.52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增加在职人员提租补贴预算</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w:t>
      </w:r>
      <w:r>
        <w:rPr>
          <w:rFonts w:hint="default" w:ascii="Times New Roman" w:hAnsi="Times New Roman" w:eastAsia="仿宋_GB2312" w:cs="Times New Roman"/>
          <w:kern w:val="0"/>
          <w:sz w:val="32"/>
          <w:szCs w:val="32"/>
        </w:rPr>
        <w:t>住房保障支出（类）住房改革支出（款）</w:t>
      </w:r>
      <w:r>
        <w:rPr>
          <w:rFonts w:hint="default" w:ascii="Times New Roman" w:hAnsi="Times New Roman" w:eastAsia="仿宋_GB2312" w:cs="Times New Roman"/>
          <w:kern w:val="0"/>
          <w:sz w:val="32"/>
          <w:szCs w:val="32"/>
        </w:rPr>
        <w:t>购房补贴</w:t>
      </w:r>
      <w:r>
        <w:rPr>
          <w:rFonts w:hint="default" w:ascii="Times New Roman" w:hAnsi="Times New Roman" w:eastAsia="仿宋_GB2312" w:cs="Times New Roman"/>
          <w:kern w:val="0"/>
          <w:sz w:val="32"/>
          <w:szCs w:val="32"/>
        </w:rPr>
        <w:t>（项）2024年预算34.19万元，比2023年预算增加</w:t>
      </w:r>
      <w:r>
        <w:rPr>
          <w:rFonts w:hint="default" w:ascii="Times New Roman" w:hAnsi="Times New Roman" w:eastAsia="仿宋_GB2312" w:cs="Times New Roman"/>
          <w:kern w:val="0"/>
          <w:sz w:val="32"/>
          <w:szCs w:val="32"/>
        </w:rPr>
        <w:t>2.26</w:t>
      </w:r>
      <w:r>
        <w:rPr>
          <w:rFonts w:hint="default" w:ascii="Times New Roman" w:hAnsi="Times New Roman" w:eastAsia="仿宋_GB2312" w:cs="Times New Roman"/>
          <w:kern w:val="0"/>
          <w:sz w:val="32"/>
          <w:szCs w:val="32"/>
        </w:rPr>
        <w:t>万元，增长7.08%，</w:t>
      </w:r>
      <w:r>
        <w:rPr>
          <w:rFonts w:hint="default" w:ascii="Times New Roman" w:hAnsi="Times New Roman" w:eastAsia="仿宋_GB2312" w:cs="Times New Roman"/>
          <w:kern w:val="0"/>
          <w:sz w:val="32"/>
          <w:szCs w:val="32"/>
        </w:rPr>
        <w:t>原因主要是2023年度公积金基数调增所增加的购房补贴预算</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中共淮北市组织部2024年一般公共预算基本支出942.36万元，其中，人员经费810.61万元，公用经费131.75万元。</w:t>
      </w:r>
    </w:p>
    <w:p>
      <w:pPr>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kern w:val="0"/>
          <w:sz w:val="32"/>
          <w:szCs w:val="32"/>
        </w:rPr>
        <w:t>810.61</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生活补助、医疗费补助、对其他个人和家庭的补助支出。</w:t>
      </w:r>
    </w:p>
    <w:p>
      <w:pPr>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kern w:val="0"/>
          <w:sz w:val="32"/>
          <w:szCs w:val="32"/>
        </w:rPr>
        <w:t>131.75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主要包括：办公费、印刷费、差旅费、劳务费、委托业务费、其他交通费用、其他商品服务支出。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中共淮北市组织部2024年没有政府性基金预算拨款收入，也没有使用政府性基金预算拨款安排的支出。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中共淮北市组织部2024年没有国有资本经营预算拨款收入，也没有使用国有资本经营预算拨款安排的支出。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中共淮北市组织部2024年预算共安排项目支出</w:t>
      </w:r>
      <w:r>
        <w:rPr>
          <w:rFonts w:hint="default" w:ascii="Times New Roman" w:hAnsi="Times New Roman" w:eastAsia="仿宋_GB2312" w:cs="Times New Roman"/>
          <w:kern w:val="0"/>
          <w:sz w:val="32"/>
          <w:szCs w:val="32"/>
        </w:rPr>
        <w:t>2168万元，比2023年预算增加</w:t>
      </w:r>
      <w:r>
        <w:rPr>
          <w:rFonts w:hint="default" w:ascii="Times New Roman" w:hAnsi="Times New Roman" w:eastAsia="仿宋_GB2312" w:cs="Times New Roman"/>
          <w:kern w:val="0"/>
          <w:sz w:val="32"/>
          <w:szCs w:val="32"/>
        </w:rPr>
        <w:t>715</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49.21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，原因主要是增加人才开发经费等项目支出。主要包括：本年财政拨款安排</w:t>
      </w:r>
      <w:r>
        <w:rPr>
          <w:rFonts w:hint="default" w:ascii="Times New Roman" w:hAnsi="Times New Roman" w:eastAsia="仿宋_GB2312" w:cs="Times New Roman"/>
          <w:kern w:val="0"/>
          <w:sz w:val="32"/>
          <w:szCs w:val="32"/>
        </w:rPr>
        <w:t>2168</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rPr>
        <w:t>2168</w:t>
      </w:r>
      <w:r>
        <w:rPr>
          <w:rFonts w:hint="default" w:ascii="Times New Roman" w:hAnsi="Times New Roman" w:eastAsia="仿宋_GB2312" w:cs="Times New Roman"/>
          <w:kern w:val="0"/>
          <w:sz w:val="32"/>
          <w:szCs w:val="32"/>
        </w:rPr>
        <w:t>万元，政府性基金预算拨款安排万元），财政专户管理资金安排0万元。</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预算安排政府采购支出29万元，比2023年预算增加26.8万元，增长1218.18%，原因主要是2024年增加计算机设备采购。其中，一般公共预算安排29万元，占100%；政府性基金预算安排0万元，占0%；财政专户管理资金安排0万元，占0%。</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十一、关于2024年政府购买服务支出表的说明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中共淮北市组织部2024年没有安排政府购买服务支出。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adjustRightInd w:val="0"/>
        <w:snapToGrid w:val="0"/>
        <w:spacing w:line="58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1、“组织部门工作经费”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用于购买日常办公用品耗材、会务等，保障部机关日常工作顺利开展。</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按项目内容及工作内容测算。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用于购买日常办公用品耗材、会务等，保障部机关日常工作顺利开展。</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（6）年度预算安排。60万元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tcBorders>
              <w:top w:val="nil"/>
              <w:left w:val="nil"/>
              <w:bottom w:val="nil"/>
              <w:right w:val="nil"/>
            </w:tcBorders>
            <w:vAlign w:val="center"/>
          </w:tcPr>
          <w:tbl>
            <w:tblPr>
              <w:tblStyle w:val="5"/>
              <w:tblW w:w="5000" w:type="pct"/>
              <w:tblInd w:w="0" w:type="dxa"/>
              <w:tblLayout w:type="autofit"/>
              <w:tblCellMar>
                <w:top w:w="0" w:type="dxa"/>
                <w:left w:w="108" w:type="dxa"/>
                <w:bottom w:w="0" w:type="dxa"/>
                <w:right w:w="108" w:type="dxa"/>
              </w:tblCellMar>
            </w:tblPr>
            <w:tblGrid>
              <w:gridCol w:w="435"/>
              <w:gridCol w:w="435"/>
              <w:gridCol w:w="553"/>
              <w:gridCol w:w="644"/>
              <w:gridCol w:w="2606"/>
              <w:gridCol w:w="1812"/>
              <w:gridCol w:w="2319"/>
            </w:tblGrid>
            <w:tr>
              <w:tblPrEx>
                <w:tblCellMar>
                  <w:top w:w="0" w:type="dxa"/>
                  <w:left w:w="108" w:type="dxa"/>
                  <w:bottom w:w="0" w:type="dxa"/>
                  <w:right w:w="108" w:type="dxa"/>
                </w:tblCellMar>
              </w:tblPrEx>
              <w:trPr>
                <w:trHeight w:val="340" w:hRule="atLeast"/>
              </w:trPr>
              <w:tc>
                <w:tcPr>
                  <w:tcW w:w="5000" w:type="pct"/>
                  <w:gridSpan w:val="7"/>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2"/>
                    </w:rPr>
                  </w:pPr>
                </w:p>
              </w:tc>
            </w:tr>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组织部门工作经费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保障机关正常运转秩序，节约成本，提高运行效率。</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保障机关正常运转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按照程序合规支出</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严格按照规定程序支付项目支出</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2024年底前</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部机关全体干部职工满意度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100%满意</w:t>
                  </w:r>
                </w:p>
              </w:tc>
            </w:tr>
          </w:tbl>
          <w:p>
            <w:pPr>
              <w:ind w:firstLine="640" w:firstLineChars="200"/>
              <w:rPr>
                <w:rFonts w:hint="default" w:ascii="Times New Roman" w:hAnsi="Times New Roman" w:eastAsia="仿宋_GB2312" w:cs="Times New Roman"/>
                <w:kern w:val="0"/>
                <w:sz w:val="32"/>
                <w:szCs w:val="32"/>
              </w:rPr>
            </w:pP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单位运行劳务费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单位电教中心聘用2名工作人员，月工资1930元/人，社保缴费2767.28元/月。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根据劳务合同测算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单位电教中心聘用2名工作人员，月工资1930元/人，社保缴费2767.28元/月。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（6）年度预算安排。6万元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单位运行劳务费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保障电教中心正常运转</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单位聘用人员数量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2人</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经费支出合规性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符合合同约定付款条件拨付</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资金拨付时间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每月按劳务人员工资数拨付</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年初预算金额内</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保障电教中心持续运转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持续保障</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聘用人员满意度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援藏工作经费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开展支援西藏山南市措美县干部走访慰问、援藏干部体检、援藏干部考察考核等工作。</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按照全省援藏工作统一安排，对口支援西藏山南市措美县。</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开展支援西藏山南市措美县干部走访慰问、援藏干部体检、援藏干部考察考核等工作。</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（6）年度预算安排。40万元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援藏工作经费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40.00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40.00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为援藏干部提供防寒、防晒、防疫物资，完成干部考察考核等工作。</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援藏干部人数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4人</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完成援藏任务</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2024年底前完成</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≤40万元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持续保障援藏工作顺利进行</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持续保障</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援藏干部满意度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城市基层党建工作经费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加强城市基层党建工作，是巩固党的执政基础、推进城市治理体系和治理能力现代化的需要。近年来，中央及省市委高度重视城市基层党建工作，相继出台了《中共中央组织部、中共中央政法委员会、民政部、住房城乡建设部印发&lt;关于深化城市基层党建引领基层治理的若干措施（试行）&gt;》（中组发〔2022〕2号）、《中共安徽省委办公厅、安徽省人民政府办公厅关于印发&lt;社区治理任务清单&gt;的通知》（厅〔2021〕29号）、《中共安徽省委组织部关于进一步加强住宅小区（网格）党支部建设工作的通知》（皖组通字〔2022〕36号）等文件，对加强城市基层党建引领基层治理提出了进一步要求。为认真贯彻落实中央及省委有关部署要求，进一步夯实基层党组织力量、建强我市城市基层党建工作基础，推动我市城市基层党建工作水平稳步提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《中共淮北市委关于加强城市基层党建工作的实施意见》（淮发〔2018〕31 号）、《中共淮北市委办公室印发&lt;关于建立城市基层党建四级联动体系的实施方案&gt;的通知》（淮办发〔2019〕9号）、省委组织部《城市领域基层党建工作“领航”计划实施方案》、《关于进一步加强住宅小区（网格）党支部建设工作的通知》（皖组通字〔2022〕36号）</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加强城市基层党建工作，是巩固党的执政基础、推进城市治理体系和治理能力现代化的需要。近年来，中央及省市委高度重视城市基层党建工作，相继出台了《中共中央组织部、中共中央政法委员会、民政部、住房城乡建设部印发&lt;关于深化城市基层党建引领基层治理的若干措施（试行）&gt;》（中组发〔2022〕2号）、《中共安徽省委办公厅、安徽省人民政府办公厅关于印发&lt;社区治理任务清单&gt;的通知》（厅〔2021〕29号）、《中共安徽省委组织部关于进一步加强住宅小区（网格）党支部建设工作的通知》（皖组通字〔2022〕36号）等文件，对加强城市基层党建引领基层治理提出了进一步要求。为认真贯彻落实中央及省委有关部署要求，进一步夯实基层党组织力量、建强我市城市基层党建工作基础，推动我市城市基层党建工作水平稳步提升。</w:t>
      </w:r>
      <w:r>
        <w:rPr>
          <w:rFonts w:hint="default" w:ascii="Times New Roman" w:hAnsi="Times New Roman" w:eastAsia="仿宋_GB2312" w:cs="Times New Roman"/>
          <w:kern w:val="0"/>
          <w:sz w:val="32"/>
          <w:szCs w:val="32"/>
        </w:rPr>
        <w:t>（6）年度预算安排。30万元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城市基层党建工作经费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我市作为“全国城市基层党建示范市”，城市基层党建工作压力较重，为基层党组织开展活动提供必要经费支持，对先进党组织进行奖补，有助于调动基层党组织创先争优的积极性，示范带动全市城市基层党建整体提升。</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覆盖社区数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135个</w:t>
            </w:r>
          </w:p>
        </w:tc>
      </w:tr>
      <w:tr>
        <w:tblPrEx>
          <w:tblCellMar>
            <w:top w:w="0" w:type="dxa"/>
            <w:left w:w="108" w:type="dxa"/>
            <w:bottom w:w="0" w:type="dxa"/>
            <w:right w:w="108" w:type="dxa"/>
          </w:tblCellMar>
        </w:tblPrEx>
        <w:trPr>
          <w:trHeight w:val="19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培训覆盖情况（培训对象数量占应覆盖对象数量的比率）100%</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年底前全部完成</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对生态循环、健康发展的改善或影响程度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以培训促进生态循环、健康发展认知的提高</w:t>
            </w:r>
          </w:p>
        </w:tc>
      </w:tr>
      <w:tr>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为培训工作提供可持续保障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进一步健全的培训管理制度，为培训工作提供可持续保障程度</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服务对象满意度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力争达到100%</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党代表任期制经费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党代表是党员中的优秀分子，是广大党员按照党内有关规定民主选举产生的，具有先进性和代表性。代表党员行使民主权利，是党员参与党内事务、表达意见诉求的代言人。做好党代表的管理，坚持和完善党代表大会制度，发挥党代表作用，推进党内民主建设，提高党的执政能力，保持党的先进性。</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《中国共产党全国代表大会和地方各级代表大会代表任期制规定》中发〔2008〕8号</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党代表是党员中的优秀分子，是广大党员按照党内有关规定民主选举产生的，具有先进性和代表性。代表党员行使民主权利，是党员参与党内事务、表达意见诉求的代言人。做好党代表的管理，坚持和完善党代表大会制度，发挥党代表作用，推进党内民主建设，提高党的执政能力，保持党的先进性。</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（6）年度预算安排。15万元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党代表任期制经费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15.00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15.00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经费主要用于对党代表进行教育管理培训15万元。</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培训期数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1期</w:t>
            </w:r>
          </w:p>
        </w:tc>
      </w:tr>
      <w:tr>
        <w:tblPrEx>
          <w:tblCellMar>
            <w:top w:w="0" w:type="dxa"/>
            <w:left w:w="108" w:type="dxa"/>
            <w:bottom w:w="0" w:type="dxa"/>
            <w:right w:w="108" w:type="dxa"/>
          </w:tblCellMar>
        </w:tblPrEx>
        <w:trPr>
          <w:trHeight w:val="19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培训覆盖情况（培训对象数量占应覆盖对象数量的比率）100%</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训完成时间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年底前全部完成</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对生态循环、健康发展的改善或影响程度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以培训促进生态循环、健康发展认知的提高</w:t>
            </w:r>
          </w:p>
        </w:tc>
      </w:tr>
      <w:tr>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为培训工作提供可持续保障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进一步健全的培训管理制度，为培训工作提供可持续保障程度</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培训对象满意度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rPr>
        <w:t>党员干部现代远程教育</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党员干部现代远程教育坚持深入学习贯彻习近平新时代中国特色社会主义思想和党的二十大精神，认真落实各级组织部长会议、基层党建重点任务推进会精神，坚持围绕中心、服务大局，充分发挥党员干部现代远程教育宣传教育服务三大功能。</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中共中央办公厅印发《2019-2023年全国党员教育培训工作规划。</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党员干部现代远程教育坚持深入学习贯彻习近平新时代中国特色社会主义思想和党的二十大精神，认真落实各级组织部长会议、基层党建重点任务推进会精神，坚持围绕中心、服务大局，充分发挥党员干部现代远程教育宣传教育服务三大功能。</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64万元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党员干部现代远程教育</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64.00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64.00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保障电教远教和电教中心大楼日常维护、淮北先锋微信托管维护费、举办干部网络培训管理员业务培训班等</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计划制作电教片数量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2部</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在网站、微信公众号推送信息质量达标率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及时发布宣传党建信息动态</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及时发布</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维护微信公众号计划成本情况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100%维护</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实现教学资源有效供给</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宣传生态保护基本情况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10次</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项目为所带动的社会事业提供长期的舆论保障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保障程度较高</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参与业务培训对象认可度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rPr>
        <w:t>非公党建工作经费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认真落实非公企业和社会组织党建工作指导员有关待遇，根据专兼职党建工作指导员不同情况和工作表现等，给予必要的工作补助。加强对非公企业出资人和社会组织负责人、非公企业和社会组织党组织书记、非公企业和社会组织党建工作指导员的教育培训，重点抓好思想政治、党建业务、政策法规、生产经营管理和纪律作风等方面的教育培训，切实提高其工作能力，促进非公企业和社会组织健康发展。为党建工作指导组（站）提供必要的工作经费，主要用于党建工作指导组（站）日常办公、集体活动等工作性支出。非公党建工作经费适用范围还包括表彰先进基层党组织，如：“双强六好”非公企业党组织、“双比双争”先进社会组织党组织等。</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关于加强和改进非公有制企业党的建设工作的实施意见（试行）》（皖办发〔2012〕32号）；关于加强社会组织党的建设工作的实施意见（试行）》（皖办发〔2015〕63号）；《关于安徽省加强非公有制企业和社会组织党组织工作经费保障的实施办法（试行）》（组通字〔2015〕15号）；《安徽省派驻非公企业和社会组织党建工作指导员管理办法》（皖组通字〔2018〕46号）；《淮北市派驻非公企业和社会组织党建工作指导员管理办法》（淮组办字〔2018〕116号）。</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认真落实非公企业和社会组织党建工作指导员有关待遇，根据专兼职党建工作指导员不同情况和工作表现等，给予必要的工作补助。加强对非公企业出资人和社会组织负责人、非公企业和社会组织党组织书记、非公企业和社会组织党建工作指导员的教育培训，重点抓好思想政治、党建业务、政策法规、生产经营管理和纪律作风等方面的教育培训，切实提高其工作能力，促进非公企业和社会组织健康发展。为党建工作指导组（站）提供必要的工作经费，主要用于党建工作指导组（站）日常办公、集体活动等工作性支出。非公党建工作经费适用范围还包括表彰先进基层党组织，如：“双强六好”非公企业党组织、“双比双争”先进社会组织党组织等。</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90万元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非公党建工作经费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90.00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90.00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132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贯彻落实习近平新时代中国特色社会主义思想和党的二十大精神，深入贯彻落实中央及省委、市委关于加强非公企业和社会组织党建工作部署要求，切实加强非公企业和社会组织党建工作力度，充分发挥非公企业和社会组织党建工作作用，不断提升全市非公企业和社会组织党建工作水平，服务促进非公企业和社会组织健康发展。</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开展各类非公活动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根据工作安排相应开展</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非公活动达到预期效果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１００％</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各项非公活动按时完成</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年底前完成</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项目支出符合国家或部门相关支出</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项目支出是否低于国内市场机构支出标准</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正常</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项目对提升非公党建的价值</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１００％</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非公企业和社会组织认可度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100%满意</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rPr>
        <w:t>干部人事档案数字化建设项目</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干部人事档案工作主要包括档案日常管理、利用和审核、数字化建设、宣传、培训，以及所需的基础设施配备和维护；干部人事档案管理应当做到收集齐全完整，整理规范有序，保管安全可靠，鉴定准确及时，利用简捷方便，开发实用有效。干部人事档案信息化是按照国家相关技术标准，利用扫描等技术手段将干部人事纸质档案转化形成的数字图像和数字文本。数字档案把各种载体的档案资源转化为数字化的档案信息，以数字化的形式存储，网络化的形式互联，利用计算机系统进行管理，形成一个有序结构的档案信息库。</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《中华人民共和国档案法》、《干部人事档案工作条例》、中组部《推进全国干部档案数字化意见》、  《2016-2020年全国组织系统信息化工作规划》（组通字〔2016〕21号）、《2016-2020年安徽省组织系统信息化工作规划》（皖组通字〔2016〕38号）、《省委组织部信息化建设2017年工作要点》（部办字〔2017〕3号）、《中共安徽省委组织部2018年信息化工作要点》（皖组办字〔2018〕7号）、《中共安徽省委组织部2019年信息化工作要点》（皖组办字〔2019〕5号）、省委组织部《关于转发中组部办公厅&lt;进一步做好干部人事档案信息化工作的通知&gt;的通知》（皖组办字〔2020〕48号）</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干部人事档案工作主要包括档案日常管理、利用和审核、数字化建设、宣传、培训，以及所需的基础设施配备和维护；干部人事档案管理应当做到收集齐全完整，整理规范有序，保管安全可靠，鉴定准确及时，利用简捷方便，开发实用有效。干部人事档案信息化是按照国家相关技术标准，利用扫描等技术手段将干部人事纸质档案转化形成的数字图像和数字文本。数字档案把各种载体的档案资源转化为数字化的档案信息，以数字化的形式存储，网络化的形式互联，利用计算机系统进行管理，形成一个有序结构的档案信息库。</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30万元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干部人事档案管理及数字化建设</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推动干部人事档案管理数字转型，全面盘活档案资源，建立健全安全、便捷、共享、高效的干部人事档案信息化管理体系。</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264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完成约2万页档案散材料、150卷档案整理及数字化加工；管理维护档案库房基础设施设备。</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项目验收合格率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项目完成及时性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合同约定时间</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对改善数据资源共享机制的影响程度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效益明显</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对减少硬件能耗支出，实现节能减排的影响程度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影响程度明显</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减少纸质档案损坏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效果明显</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使用单位满意度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w:t>
      </w:r>
      <w:r>
        <w:rPr>
          <w:rFonts w:hint="default" w:ascii="Times New Roman" w:hAnsi="Times New Roman" w:eastAsia="仿宋_GB2312" w:cs="Times New Roman"/>
          <w:kern w:val="0"/>
          <w:sz w:val="32"/>
          <w:szCs w:val="32"/>
        </w:rPr>
        <w:t>公务员考录遴选经费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公务员招录横跨时间长、工作任务重、承担压力大，公开遴选是优化市直机关公务员队伍结构的重要方式，不仅需要各个部门的协同配合，还需要强有力的物质基础。按照《公务员录用规定》和《安徽省公务员录用实施办法（试行）》等规定，公务员录用遴选所需经费，应当列入财政预算，予以保障。因此各级财政部门应根据实际情况积极响应，大力支持，保障公务员招录遴选经费。</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《中华人民共和国公务员法》、中共中央组织部、人事部《公务员录用规定》（中组发〔2019〕21号）</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公务员招录横跨时间长、工作任务重、承担压力大，公开遴选是优化市直机关公务员队伍结构的重要方式，不仅需要各个部门的协同配合，还需要强有力的物质基础。按照《公务员录用规定》和《安徽省公务员录用实施办法（试行）》等规定，公务员录用遴选所需经费，应当列入财政预算，予以保障。因此各级财政部门应根据实际情况积极响应，大力支持，保障公务员招录遴选经费。</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70万元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公务员考录遴选</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完成2024工作年度考试录用公务员的招录、2024年度公开遴选工作</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完成2024年度公务员招录遴选全部工作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公务员招录遴选数量</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高标准完成公务员招录遴选各项程序。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严格执行相关财经法规、制度</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项目计划完成时间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12月底前完成</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促进淮北经济高质量发展</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推动淮北各项事业发展</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公务员队伍素质持续提升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持续加强公务员队伍建设</w:t>
            </w:r>
          </w:p>
        </w:tc>
      </w:tr>
      <w:tr>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群众、单位满意度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考生、考试工作人员对公务员考试组织等方面满意、放心。</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w:t>
      </w:r>
      <w:r>
        <w:rPr>
          <w:rFonts w:hint="default" w:ascii="Times New Roman" w:hAnsi="Times New Roman" w:eastAsia="仿宋_GB2312" w:cs="Times New Roman"/>
          <w:kern w:val="0"/>
          <w:sz w:val="32"/>
          <w:szCs w:val="32"/>
        </w:rPr>
        <w:t>淮北市“e学习”远教联播平台项目</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为认真学习贯彻习近平新时代中国特色社会主义思想，充分发挥远教文化广场信息量大、受众面广、形象直观等资源优势，更好地宣传学习党的二十大精神、传递党建工作动态、展示全市发展成果，保障“e学习”远教联播平台平稳有效运转，根据《关于建设市级播控中心及远教广场有关情况的汇报》和第一、二期项目《采购合同》，主要包括传输线路、LED屏幕及配件维护、电费等。</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中共中央办公厅《2019-2023年全国党员教育培训工作规划》、《中共安徽省委组织部关于进一步加强党员电化教育和远程教育工作的意见》（皖组字〔2015〕43号）、《中共安徽省委组织部关于开展党员远程教育工作规范化建设年活动的通知》（皖组办字〔2017〕11号）、《中共安徽省委组织部关于开展党员远程教育工作规范化提升年活动的通知》（皖组办字〔2018〕9号）、《中共安徽省委组织部关于开展党员远程教育工作规范化巩固年活动的通知》（皖组办字 〔2019〕8号）、《中共安徽省委组织部关于印发&lt;安徽省党员电化教育中心2021年工作要点&gt;的通知》（皖组办字〔2021〕16号）、《中共安徽省委组织部关于印发&lt;安徽省党员电化教育中心2022年工作要点&gt;的通知》（皖组办字〔2022〕10号）、《关于建设市级播控中心及远教广场有关情况的汇报》、 第二期“e学习”远教联播平台项目《采购合同》。</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为认真学习贯彻习近平新时代中国特色社会主义思想，充分发挥远教文化广场信息量大、受众面广、形象直观等资源优势，更好地宣传学习党的二十大精神、传递党建工作动态、展示全市发展成果，保障“e学习”远教联播平台平稳有效运转，根据《关于建设市级播控中心及远教广场有关情况的汇报》和第一、二期项目《采购合同》，主要包括传输线路、LED屏幕及配件维护、电费等。</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70万元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淮北“e学习”远教联播平台项目</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根据《关于建设市级播控中心及远教广场有关情况的汇报》和第一、二期项目《采购合同》，第一、二期项目管理运行费用每年100万元，主要包括传输线路、LED屏幕及配件维护、电费等。</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完成修理养护的设施数量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97个</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养护维修质量合格率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项目完成及时性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12月份</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养护维修成本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项目预算数</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对减少财政投资成本的改善程度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效益程度较高</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采用节能环保建筑材料，倡导绿色健康环保理念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效益程度较高</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对提高或改善公共服务水平的持续影响程度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效益程度较高</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公众满意度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较高</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w:t>
      </w:r>
      <w:r>
        <w:rPr>
          <w:rFonts w:hint="default" w:ascii="Times New Roman" w:hAnsi="Times New Roman" w:eastAsia="仿宋_GB2312" w:cs="Times New Roman"/>
          <w:kern w:val="0"/>
          <w:sz w:val="32"/>
          <w:szCs w:val="32"/>
        </w:rPr>
        <w:t>农村基层党建经费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项目用于到村任职选调生培训班15万、村书记示范培训班 15万、全市镇党委书记、组织委员培训班 15万、集体经济扶持村党组织书记专题培训10万、第八批选派干部培训班 15万。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《中国共产党农村工作条例》《中国共产党农村基层组织工作条例》。</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项目用于到村任职选调生培训班15万、村书记示范培训班 15万、全市镇党委书记、组织委员培训班 15万、集体经济扶持村党组织书记专题培训10万、第八批选派干部培训班 15万。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70万元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农村基层党建经费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110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深入贯彻习近平新时代中国特色社会主义思想，贯彻落实新时代党的建设总要求和新时代党的组织路线，提高新时代党全面领导农村工作的能力和水平，打造一支信念坚定、为民服务、勤政务实、敢于担当、清正廉洁、善于结合实际开展工作的基层干部队伍。</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培训期数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5期</w:t>
            </w:r>
          </w:p>
        </w:tc>
      </w:tr>
      <w:tr>
        <w:tblPrEx>
          <w:tblCellMar>
            <w:top w:w="0" w:type="dxa"/>
            <w:left w:w="108" w:type="dxa"/>
            <w:bottom w:w="0" w:type="dxa"/>
            <w:right w:w="108" w:type="dxa"/>
          </w:tblCellMar>
        </w:tblPrEx>
        <w:trPr>
          <w:trHeight w:val="19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培训覆盖情况（培训对象数量占应覆盖对象数量的比率）100%实现</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年底前全部完成</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全年成本不高于70万元</w:t>
            </w:r>
          </w:p>
        </w:tc>
      </w:tr>
      <w:tr>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对地方经济的影响程度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项目实施对培训人员综合素质的提高，带动地方经济的增长</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对生态循环、健康发展的改善或影响程度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以培训促进生态循环、健康发展认知的提高</w:t>
            </w:r>
          </w:p>
        </w:tc>
      </w:tr>
      <w:tr>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健全的培训管理制度为培训工作提供可持续保障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进一步健全的培训管理制度，为培训工作提供可持续保障程度</w:t>
            </w:r>
          </w:p>
        </w:tc>
      </w:tr>
      <w:tr>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受训学员满意度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受训学员对相关培训的认可程度100%</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w:t>
      </w:r>
      <w:r>
        <w:rPr>
          <w:rFonts w:hint="default" w:ascii="Times New Roman" w:hAnsi="Times New Roman" w:eastAsia="仿宋_GB2312" w:cs="Times New Roman"/>
          <w:kern w:val="0"/>
          <w:sz w:val="32"/>
          <w:szCs w:val="32"/>
        </w:rPr>
        <w:t>全市干部培训经费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安徽干部教育在线干部网络培训经费45万元、举办淮北大讲堂15万元、干部专业能力提升培训40万元、按照中央及省市部署举办专题研讨班40万元、市外培训班经费150万元、购买干部教育培训相关书籍10万元。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干部教育培训工作条例》、《关于进一步提升全省干部教育培训主体班次办学质量的意见》（皖组发〔2021〕9号）、《关于做好全省干部网络培训经费保障工作的通知》（组办字〔2010〕101号）、《关于进一步规范市直单位在市外举办培训班的通知》（淮组办字〔2023〕75号）。</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安徽干部教育在线干部网络培训经费45万元、举办淮北大讲堂15万元、干部专业能力提升培训40万元、按照中央及省市部署举办专题研讨班40万元、市外培训班经费150万元、购买干部教育培训相关书籍10万元。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300万元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全市干部培训经费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深入学习贯彻习近平新时代中国特色社会主义思想和党的二十大精神，全面落实习近平总书记对安徽作出的系列重要讲话指示精神，进一步推进干部教育培训工作科学化、制度化、规范化，着力培养造就高素质干部队伍。</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领导干部调训情况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符合上级文件要求</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干部教育培训质量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符合上级文件要求</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上级部署或计划完成时间</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教育培训成本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不超过年度预算</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提升领导干部专业化能力</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较为明显</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提高领导干部生态保护意识</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较为明显</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对经济社会长期发展的影响</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较为明显</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受训学员评分</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90分以上</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w:t>
      </w:r>
      <w:r>
        <w:rPr>
          <w:rFonts w:hint="default" w:ascii="Times New Roman" w:hAnsi="Times New Roman" w:eastAsia="仿宋_GB2312" w:cs="Times New Roman"/>
          <w:kern w:val="0"/>
          <w:sz w:val="32"/>
          <w:szCs w:val="32"/>
        </w:rPr>
        <w:t>人才开发经费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经费用于 “555”产业创新团队建设费用180万元、市引进高层次创新创业人才补贴150万元、事业单位引进急需紧缺人才补贴120万元、高层次人才储备金兑现380万元等。</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《中国共产党组织工作条例》、《关于深化人才发展体制机制改革的实施意见》。</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经费用于 “555”产业创新团队建设费用180万元、市引进高层次创新创业人才补贴150万元、事业单位引进急需紧缺人才补贴120万元、高层次人才储备金兑现380万元等。</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1000万元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人才开发经费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1000.00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1000.00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坚持党管人才原则，加快实施新时代人才强市战略，统筹各类人才队伍建设，高质量实施重点人才工程，着力集聚各行业领域优秀人才，为推动更高质量转型发展提供坚实的人才支撑。</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人才引进数量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符合上级要求</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平台载体建设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符合上级要求</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各项任务完成时间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上级部署或计划完成时间</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人才引育成本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不超过年度预算</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推动产业发展</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较为明显</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对经济社会长期发展的影响</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有积极影响</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人才及用人单位满意度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w:t>
      </w:r>
      <w:r>
        <w:rPr>
          <w:rFonts w:hint="default" w:ascii="Times New Roman" w:hAnsi="Times New Roman" w:eastAsia="仿宋_GB2312" w:cs="Times New Roman"/>
          <w:kern w:val="0"/>
          <w:sz w:val="32"/>
          <w:szCs w:val="32"/>
        </w:rPr>
        <w:t>社区服务群众专项经费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加强城市基层党建工作，是巩固党的执政基础、推进城市治理体系和治理能力现代化的需要。加强城市基层党建工作，需要夯实基层基础，不断强化城市基层党建工作经费保障。《中共安徽省委关于加强城市基层党建工作的意见》（皖发〔2018〕15号）、《中共淮北市委关于加强城市基层党建工作的实施意见》（淮发〔2018〕31号）均明确规定：“按照有关规定落实社区党组织服务群众专项经费，市辖区的社区每年不低于10万元，县的社区每年不低于5万元。”我市在《关于印发&lt;2016—2020年淮北市街道社区党的建设工作规划&gt;的通知》（淮组字〔2016〕9号）中进一步规定：“社区党组织服务群众专项经费纳入地方财政预算，市辖区的社区每年专项经费不少于10万元，由市、区财政按照2：8比例进行配套，县的社区不少于5万元，由县财政全额配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中共安徽省委关于加强城市基层党建工作的意见》（皖发〔2018〕15号）、《中共淮北市委关于加强城市基层党建工作的实施意见》（淮发〔2018〕31号）、《关于印发&lt;2016—2020年淮北市街道社区党的建设工作规划&gt;的通知》（淮组字〔2016〕9号）、印发《淮北市社区党组织服务群众专项经费使用管理办法（试行）》的通知（淮组组字〔2016〕107号）。</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加强城市基层党建工作，是巩固党的执政基础、推进城市治理体系和治理能力现代化的需要。加强城市基层党建工作，需要夯实基层基础，不断强化城市基层党建工作经费保障。《中共安徽省委关于加强城市基层党建工作的意见》（皖发〔2018〕15号）、《中共淮北市委关于加强城市基层党建工作的实施意见》（淮发〔2018〕31号）均明确规定：“按照有关规定落实社区党组织服务群众专项经费，市辖区的社区每年不低于10万元，县的社区每年不低于5万元。”我市在《关于印发&lt;2016—2020年淮北市街道社区党的建设工作规划&gt;的通知》（淮组字〔2016〕9号）中进一步规定：“社区党组织服务群众专项经费纳入地方财政预算，市辖区的社区每年专项经费不少于10万元，由市、区财政按照2：8比例进行配套，县的社区不少于5万元，由县财政全额配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218万元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社区服务群众专项经费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218.00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218.00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2024年市级财政列支218万用于社区服务群众专项经费。相山区75个城市社区，杜集区18个城市社区，烈山区16个城市区，共109个城市社区，每个城市社区每年服务群众专项经费为2万元，共计218万元。</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城市社区数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109个</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服务群众</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全部用于服务群众</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年底前全部完成</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218万元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144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对生态循环、健康发展的改善或影响程度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进一步提升基层对生态循环、健康发展认知的提高</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为社区工作提供可持续保障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为基层社区提供可持续保障</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服务群众满意度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15、“</w:t>
      </w:r>
      <w:r>
        <w:rPr>
          <w:rFonts w:hint="default" w:ascii="Times New Roman" w:hAnsi="Times New Roman" w:eastAsia="仿宋_GB2312" w:cs="Times New Roman"/>
          <w:kern w:val="0"/>
          <w:sz w:val="32"/>
          <w:szCs w:val="32"/>
        </w:rPr>
        <w:t>选人用人专项检查</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结合九届市委巡察工作同步开展选人用人专项检查。</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《安徽省结合巡视开展选人用人工作专项检查办法（试行）》（皖组发〔2016〕18号）</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结合九届市委巡察工作同步开展选人用人专项检查。</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10万元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选人用人专项检查</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对被巡察单位选人用人工作情况进行检查，反馈问题并提出整改意见。</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被巡察单位数量（具有选人用人权）</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结合巡视巡察工作，做到应检查尽检查</w:t>
            </w:r>
          </w:p>
        </w:tc>
      </w:tr>
      <w:tr>
        <w:tblPrEx>
          <w:tblCellMar>
            <w:top w:w="0" w:type="dxa"/>
            <w:left w:w="108" w:type="dxa"/>
            <w:bottom w:w="0" w:type="dxa"/>
            <w:right w:w="108" w:type="dxa"/>
          </w:tblCellMar>
        </w:tblPrEx>
        <w:trPr>
          <w:trHeight w:val="144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党管干部原则、选人用人程序、选人用人基础资料、干部人事档案4个方面问题</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发现选人用人及日常教育管理工作中存在的问题</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检查工作按期完成</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2024年完成检查任务</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检查工作费用支出是否符合国家或部门相关规定</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参照市委巡察费用标准</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问题整改数量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对问题整改工作进行跟踪问效，确保整改到位</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被检查单位认领问题百分比</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被检查单位是可检查中发现的问题</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16、“</w:t>
      </w:r>
      <w:r>
        <w:rPr>
          <w:rFonts w:hint="default" w:ascii="Times New Roman" w:hAnsi="Times New Roman" w:eastAsia="仿宋_GB2312" w:cs="Times New Roman"/>
          <w:kern w:val="0"/>
          <w:sz w:val="32"/>
          <w:szCs w:val="32"/>
        </w:rPr>
        <w:t>全市组织系统信息化建设及运维</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rPr>
        <w:t>全市组织系统信息化运维工作是第一、二期组织系统信息化项目建成后，为保障软硬件系统及相关设备设施安全、稳定、高效运行，组织实施的管理维护工作。信息化运维工作主要包括采购软硬件设备、租用数据专线、硬件维修、软件迭代升级、分级保护测评、密码测评、应急演练以及技术人员驻场服务等。</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rPr>
        <w:t>关于印发&lt;2021-2025年安徽省组织系统信息化工作规划&gt;的通知》（皖组通字〔2022〕28号）、《关于近期全省组织系统信息化工作有关事项的通知》（皖组办字〔2021〕99号）等</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rPr>
        <w:t>全市组织系统信息化运维工作是第一、二期组织系统信息化项目建成后，为保障软硬件系统及相关设备设施安全、稳定、高效运行，组织实施的管理维护工作。信息化运维工作主要包括采购软硬件设备、租用数据专线、硬件维修、软件迭代升级、分级保护测评、密码测评、应急演练以及技术人员驻场服务等。</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75万元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全市组织系统信息化建设及运维</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75.00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75.00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110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基于安全可靠的技术和产品，进一步完善组织系统信息化基础设施，打造布局合理、覆盖全面、集约高效、上下联动的信息化工作架构，形成与组织工作高质量发展需求相适应的系统性、数字化、安全可靠的组织系统信息化工作体系。</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服务单位数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56个</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信息化运行质量情况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软硬件安全稳定运行</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项目完成及时性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按照合同约定时间</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≤75万元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提升信息化支撑组织工作发展力度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效果明显</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对减少硬件能耗支出，实现节能减排的影响程度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影响程度明显</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保障使用单位信息化设备可持续使用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不间断运行</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使用单位满意度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17、“主题教育工作经费 ”项目。</w:t>
      </w:r>
    </w:p>
    <w:p>
      <w:pPr>
        <w:adjustRightInd w:val="0"/>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（1）项目概述。保障全市学习贯彻习近平新时代中国特色社会主义主题教育顺利开展。</w:t>
      </w:r>
    </w:p>
    <w:p>
      <w:pPr>
        <w:adjustRightInd w:val="0"/>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（2）立项依据。按项目及工作内容立项。</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pPr>
        <w:adjustRightInd w:val="0"/>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（5）项目内容。保障全市学习贯彻习近平新时代中国特色社会主义主题教育顺利开展。</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rPr>
        <w:t>20万元</w:t>
      </w:r>
    </w:p>
    <w:p>
      <w:pPr>
        <w:adjustRightInd w:val="0"/>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主题教育工作经费</w:t>
            </w:r>
          </w:p>
        </w:tc>
      </w:tr>
      <w:tr>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20.00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20.00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保障全市学习贯彻习近平新时代中国特色社会主义主题教育顺利开展。</w:t>
            </w:r>
          </w:p>
        </w:tc>
      </w:tr>
      <w:tr>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保障活动正常开展</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按照程序合规支出</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严格按照规定程序</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2024年初</w:t>
            </w:r>
          </w:p>
        </w:tc>
      </w:tr>
      <w:tr>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学习贯彻习近平新时代中国特色社会主义主题教育</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贯彻学习</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保障特色社会主义教育活动正常开展</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影响程度较高</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干部职工满意度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≥96%</w:t>
            </w:r>
          </w:p>
        </w:tc>
      </w:tr>
    </w:tbl>
    <w:p>
      <w:pPr>
        <w:adjustRightInd w:val="0"/>
        <w:snapToGrid w:val="0"/>
        <w:spacing w:line="58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中共淮北市组织部2024年机关运行经费财政拨款预算131.75万元，比2023年预算减少10.38万元，下降7.3%，原因主要是人员变动减资额。</w:t>
      </w:r>
    </w:p>
    <w:p>
      <w:pPr>
        <w:adjustRightInd w:val="0"/>
        <w:snapToGrid w:val="0"/>
        <w:spacing w:line="58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中共淮北市组织部2024年政府采购预算29万元。其中：政府采购货物预算29万元，政府采购工程预算0万元，政府采购服务预算0万元。</w:t>
      </w:r>
    </w:p>
    <w:p>
      <w:pPr>
        <w:adjustRightInd w:val="0"/>
        <w:snapToGrid w:val="0"/>
        <w:spacing w:line="58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截至2023年12月31日，中共淮北市组织部共有车辆0辆。单价50万元以上的通用设备0台（套），单价100万元以上的专用设备0台（套）。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2024年部门（单位）预算安排购置公务用车0辆，购置费0万元；安排购置单价50万元以上的通用设备0台（套），购置费0万元；安排购置单价100万元以上专用设备0台（套），购置费0万元。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2024年，中共淮北市组织部17个项目实行了绩效目标管理，涉及一般公共预算当年财政拨款2168万元、政府性基金预算当年财政拨款0万元、财政专户管理资金当年安排0万元。</w:t>
      </w: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pPr>
        <w:rPr>
          <w:rFonts w:hint="default" w:ascii="Times New Roman" w:hAnsi="Times New Roman" w:cs="Times New Roman"/>
        </w:rPr>
      </w:pPr>
    </w:p>
    <w:p>
      <w:pPr>
        <w:pStyle w:val="4"/>
        <w:adjustRightInd w:val="0"/>
        <w:snapToGrid w:val="0"/>
        <w:spacing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cs="Times New Roman"/>
          <w:b/>
          <w:sz w:val="32"/>
          <w:szCs w:val="32"/>
        </w:rPr>
        <w:t>一</w:t>
      </w:r>
      <w:r>
        <w:rPr>
          <w:rFonts w:hint="default" w:ascii="Times New Roman" w:hAnsi="Times New Roman" w:eastAsia="Malgun Gothic Semilight" w:cs="Times New Roman"/>
          <w:b/>
          <w:sz w:val="32"/>
          <w:szCs w:val="32"/>
        </w:rPr>
        <w:t>、</w:t>
      </w:r>
      <w:r>
        <w:rPr>
          <w:rFonts w:hint="default" w:ascii="Times New Roman" w:hAnsi="Times New Roman" w:cs="Times New Roman"/>
          <w:b/>
          <w:sz w:val="32"/>
          <w:szCs w:val="32"/>
        </w:rPr>
        <w:t>财政拨款收入</w:t>
      </w:r>
      <w:r>
        <w:rPr>
          <w:rFonts w:hint="default" w:ascii="Times New Roman" w:hAnsi="Times New Roman" w:eastAsia="Malgun Gothic Semilight" w:cs="Times New Roman"/>
          <w:b/>
          <w:sz w:val="32"/>
          <w:szCs w:val="32"/>
        </w:rPr>
        <w:t>：</w:t>
      </w:r>
      <w:r>
        <w:rPr>
          <w:rFonts w:hint="default" w:ascii="Times New Roman" w:hAnsi="Times New Roman" w:cs="Times New Roman"/>
          <w:sz w:val="32"/>
          <w:szCs w:val="32"/>
        </w:rPr>
        <w:t>指部门或单位从同级财政部门取得的财政预算资金</w:t>
      </w:r>
      <w:r>
        <w:rPr>
          <w:rFonts w:hint="default" w:ascii="Times New Roman" w:hAnsi="Times New Roman" w:eastAsia="Malgun Gothic Semilight" w:cs="Times New Roman"/>
          <w:sz w:val="32"/>
          <w:szCs w:val="32"/>
        </w:rPr>
        <w:t>。</w:t>
      </w:r>
    </w:p>
    <w:p>
      <w:pPr>
        <w:pStyle w:val="4"/>
        <w:adjustRightInd w:val="0"/>
        <w:snapToGrid w:val="0"/>
        <w:spacing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cs="Times New Roman"/>
          <w:b/>
          <w:sz w:val="32"/>
          <w:szCs w:val="32"/>
        </w:rPr>
        <w:t>二</w:t>
      </w:r>
      <w:r>
        <w:rPr>
          <w:rFonts w:hint="default" w:ascii="Times New Roman" w:hAnsi="Times New Roman" w:eastAsia="仿宋_GB2312" w:cs="Times New Roman"/>
          <w:b/>
          <w:sz w:val="32"/>
          <w:szCs w:val="32"/>
        </w:rPr>
        <w:t>、</w:t>
      </w:r>
      <w:r>
        <w:rPr>
          <w:rFonts w:hint="default" w:ascii="Times New Roman" w:hAnsi="Times New Roman" w:cs="Times New Roman"/>
          <w:b/>
          <w:sz w:val="32"/>
          <w:szCs w:val="32"/>
        </w:rPr>
        <w:t>上年结转</w:t>
      </w:r>
      <w:r>
        <w:rPr>
          <w:rFonts w:hint="default" w:ascii="Times New Roman" w:hAnsi="Times New Roman" w:eastAsia="Malgun Gothic Semilight" w:cs="Times New Roman"/>
          <w:b/>
          <w:sz w:val="32"/>
          <w:szCs w:val="32"/>
        </w:rPr>
        <w:t>：</w:t>
      </w:r>
      <w:r>
        <w:rPr>
          <w:rFonts w:hint="default" w:ascii="Times New Roman" w:hAnsi="Times New Roman" w:cs="Times New Roman"/>
          <w:sz w:val="32"/>
          <w:szCs w:val="32"/>
        </w:rPr>
        <w:t>指以前年度安排</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结转到本年仍按原用途继续使用的资金</w:t>
      </w:r>
      <w:r>
        <w:rPr>
          <w:rFonts w:hint="default" w:ascii="Times New Roman" w:hAnsi="Times New Roman" w:eastAsia="Malgun Gothic Semilight" w:cs="Times New Roman"/>
          <w:sz w:val="32"/>
          <w:szCs w:val="32"/>
        </w:rPr>
        <w:t>。</w:t>
      </w:r>
    </w:p>
    <w:p>
      <w:pPr>
        <w:pStyle w:val="4"/>
        <w:adjustRightInd w:val="0"/>
        <w:snapToGrid w:val="0"/>
        <w:spacing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cs="Times New Roman"/>
          <w:b/>
          <w:sz w:val="32"/>
          <w:szCs w:val="32"/>
        </w:rPr>
        <w:t>三</w:t>
      </w:r>
      <w:r>
        <w:rPr>
          <w:rFonts w:hint="default" w:ascii="Times New Roman" w:hAnsi="Times New Roman" w:eastAsia="仿宋_GB2312" w:cs="Times New Roman"/>
          <w:b/>
          <w:sz w:val="32"/>
          <w:szCs w:val="32"/>
        </w:rPr>
        <w:t>、</w:t>
      </w:r>
      <w:r>
        <w:rPr>
          <w:rFonts w:hint="default" w:ascii="Times New Roman" w:hAnsi="Times New Roman" w:cs="Times New Roman"/>
          <w:b/>
          <w:sz w:val="32"/>
          <w:szCs w:val="32"/>
        </w:rPr>
        <w:t>结转下年</w:t>
      </w:r>
      <w:r>
        <w:rPr>
          <w:rFonts w:hint="default" w:ascii="Times New Roman" w:hAnsi="Times New Roman" w:eastAsia="Malgun Gothic Semilight" w:cs="Times New Roman"/>
          <w:b/>
          <w:sz w:val="32"/>
          <w:szCs w:val="32"/>
        </w:rPr>
        <w:t>：</w:t>
      </w:r>
      <w:r>
        <w:rPr>
          <w:rFonts w:hint="default" w:ascii="Times New Roman" w:hAnsi="Times New Roman" w:cs="Times New Roman"/>
          <w:sz w:val="32"/>
          <w:szCs w:val="32"/>
        </w:rPr>
        <w:t>指以前年度预算安排</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因客观条件发生变化无法按原计划实施</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需以后年度按原用途继续使用的资金</w:t>
      </w:r>
      <w:r>
        <w:rPr>
          <w:rFonts w:hint="default" w:ascii="Times New Roman" w:hAnsi="Times New Roman" w:eastAsia="Malgun Gothic Semilight" w:cs="Times New Roman"/>
          <w:sz w:val="32"/>
          <w:szCs w:val="32"/>
        </w:rPr>
        <w:t>。</w:t>
      </w:r>
    </w:p>
    <w:p>
      <w:pPr>
        <w:pStyle w:val="4"/>
        <w:adjustRightInd w:val="0"/>
        <w:snapToGrid w:val="0"/>
        <w:spacing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cs="Times New Roman"/>
          <w:b/>
          <w:sz w:val="32"/>
          <w:szCs w:val="32"/>
        </w:rPr>
        <w:t>四</w:t>
      </w:r>
      <w:r>
        <w:rPr>
          <w:rFonts w:hint="default" w:ascii="Times New Roman" w:hAnsi="Times New Roman" w:eastAsia="仿宋_GB2312" w:cs="Times New Roman"/>
          <w:b/>
          <w:sz w:val="32"/>
          <w:szCs w:val="32"/>
        </w:rPr>
        <w:t>、</w:t>
      </w:r>
      <w:r>
        <w:rPr>
          <w:rFonts w:hint="default" w:ascii="Times New Roman" w:hAnsi="Times New Roman" w:cs="Times New Roman"/>
          <w:b/>
          <w:sz w:val="32"/>
          <w:szCs w:val="32"/>
        </w:rPr>
        <w:t>基本支出</w:t>
      </w:r>
      <w:r>
        <w:rPr>
          <w:rFonts w:hint="default" w:ascii="Times New Roman" w:hAnsi="Times New Roman" w:eastAsia="Malgun Gothic Semilight" w:cs="Times New Roman"/>
          <w:b/>
          <w:sz w:val="32"/>
          <w:szCs w:val="32"/>
        </w:rPr>
        <w:t>：</w:t>
      </w:r>
      <w:r>
        <w:rPr>
          <w:rFonts w:hint="default" w:ascii="Times New Roman" w:hAnsi="Times New Roman" w:cs="Times New Roman"/>
          <w:sz w:val="32"/>
          <w:szCs w:val="32"/>
        </w:rPr>
        <w:t>指为保障机构正常运转</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完成日常工作任务而发生的人员支出和公用支出</w:t>
      </w:r>
      <w:r>
        <w:rPr>
          <w:rFonts w:hint="default" w:ascii="Times New Roman" w:hAnsi="Times New Roman" w:eastAsia="Malgun Gothic Semilight" w:cs="Times New Roman"/>
          <w:sz w:val="32"/>
          <w:szCs w:val="32"/>
        </w:rPr>
        <w:t>。</w:t>
      </w:r>
    </w:p>
    <w:p>
      <w:pPr>
        <w:pStyle w:val="4"/>
        <w:adjustRightInd w:val="0"/>
        <w:snapToGrid w:val="0"/>
        <w:spacing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cs="Times New Roman"/>
          <w:b/>
          <w:sz w:val="32"/>
          <w:szCs w:val="32"/>
        </w:rPr>
        <w:t>五</w:t>
      </w:r>
      <w:r>
        <w:rPr>
          <w:rFonts w:hint="default" w:ascii="Times New Roman" w:hAnsi="Times New Roman" w:eastAsia="仿宋_GB2312" w:cs="Times New Roman"/>
          <w:b/>
          <w:sz w:val="32"/>
          <w:szCs w:val="32"/>
        </w:rPr>
        <w:t>、</w:t>
      </w:r>
      <w:r>
        <w:rPr>
          <w:rFonts w:hint="default" w:ascii="Times New Roman" w:hAnsi="Times New Roman" w:cs="Times New Roman"/>
          <w:b/>
          <w:sz w:val="32"/>
          <w:szCs w:val="32"/>
        </w:rPr>
        <w:t>项目支出</w:t>
      </w:r>
      <w:r>
        <w:rPr>
          <w:rFonts w:hint="default" w:ascii="Times New Roman" w:hAnsi="Times New Roman" w:eastAsia="Malgun Gothic Semilight" w:cs="Times New Roman"/>
          <w:b/>
          <w:sz w:val="32"/>
          <w:szCs w:val="32"/>
        </w:rPr>
        <w:t>：</w:t>
      </w:r>
      <w:r>
        <w:rPr>
          <w:rFonts w:hint="default" w:ascii="Times New Roman" w:hAnsi="Times New Roman" w:cs="Times New Roman"/>
          <w:sz w:val="32"/>
          <w:szCs w:val="32"/>
        </w:rPr>
        <w:t>指在除基本支出之外的支出</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主要用于完成特定的工作任务和事业发展目标</w:t>
      </w:r>
      <w:r>
        <w:rPr>
          <w:rFonts w:hint="default" w:ascii="Times New Roman" w:hAnsi="Times New Roman" w:eastAsia="Malgun Gothic Semilight" w:cs="Times New Roman"/>
          <w:sz w:val="32"/>
          <w:szCs w:val="32"/>
        </w:rPr>
        <w:t>。</w:t>
      </w:r>
    </w:p>
    <w:p>
      <w:pPr>
        <w:pStyle w:val="4"/>
        <w:adjustRightInd w:val="0"/>
        <w:snapToGrid w:val="0"/>
        <w:spacing w:line="560" w:lineRule="exact"/>
        <w:ind w:firstLine="629" w:firstLineChars="196"/>
        <w:rPr>
          <w:rFonts w:hint="default" w:ascii="Times New Roman" w:hAnsi="Times New Roman" w:cs="Times New Roman"/>
        </w:rPr>
      </w:pPr>
      <w:r>
        <w:rPr>
          <w:rFonts w:hint="default" w:ascii="Times New Roman" w:hAnsi="Times New Roman" w:cs="Times New Roman"/>
          <w:b/>
          <w:sz w:val="32"/>
          <w:szCs w:val="32"/>
        </w:rPr>
        <w:t>六</w:t>
      </w:r>
      <w:r>
        <w:rPr>
          <w:rFonts w:hint="default" w:ascii="Times New Roman" w:hAnsi="Times New Roman" w:eastAsia="Malgun Gothic Semilight" w:cs="Times New Roman"/>
          <w:b/>
          <w:sz w:val="32"/>
          <w:szCs w:val="32"/>
        </w:rPr>
        <w:t>、</w:t>
      </w:r>
      <w:r>
        <w:rPr>
          <w:rFonts w:hint="default" w:ascii="Times New Roman" w:hAnsi="Times New Roman" w:cs="Times New Roman"/>
          <w:b/>
          <w:sz w:val="32"/>
          <w:szCs w:val="32"/>
        </w:rPr>
        <w:t>机关运行经费</w:t>
      </w:r>
      <w:r>
        <w:rPr>
          <w:rFonts w:hint="default" w:ascii="Times New Roman" w:hAnsi="Times New Roman" w:eastAsia="仿宋_GB2312" w:cs="Times New Roman"/>
          <w:b/>
          <w:sz w:val="32"/>
          <w:szCs w:val="32"/>
        </w:rPr>
        <w:t xml:space="preserve">: </w:t>
      </w:r>
      <w:r>
        <w:rPr>
          <w:rFonts w:hint="default" w:ascii="Times New Roman" w:hAnsi="Times New Roman" w:cs="Times New Roman"/>
          <w:sz w:val="32"/>
          <w:szCs w:val="32"/>
        </w:rPr>
        <w:t>为保障行政单位</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包括参照公务员法管理的事业单位</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运行用于购买货物和服务的各项资金</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包括办公及印刷费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邮电费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差旅费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会议费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福利费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日常维修费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一般设备购置费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办公用房水电费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办公用房取暖费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办公用房物业管理费</w:t>
      </w:r>
      <w:r>
        <w:rPr>
          <w:rFonts w:hint="default" w:ascii="Times New Roman" w:hAnsi="Times New Roman" w:eastAsia="Malgun Gothic Semilight" w:cs="Times New Roman"/>
          <w:sz w:val="32"/>
          <w:szCs w:val="32"/>
        </w:rPr>
        <w:t>、</w:t>
      </w:r>
      <w:r>
        <w:rPr>
          <w:rFonts w:hint="default" w:ascii="Times New Roman" w:hAnsi="Times New Roman" w:cs="Times New Roman"/>
          <w:sz w:val="32"/>
          <w:szCs w:val="32"/>
        </w:rPr>
        <w:t>公务用车运行维护费以及其他费用</w:t>
      </w:r>
      <w:r>
        <w:rPr>
          <w:rFonts w:hint="default" w:ascii="Times New Roman" w:hAnsi="Times New Roman" w:eastAsia="仿宋_GB2312" w:cs="Times New Roman"/>
          <w:sz w:val="32"/>
          <w:szCs w:val="32"/>
        </w:rPr>
        <w:t>。</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altName w:val="DejaVu San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algun Gothic Semilight">
    <w:altName w:val="Droid Sans Fallback"/>
    <w:panose1 w:val="020B0502040204020203"/>
    <w:charset w:val="86"/>
    <w:family w:val="swiss"/>
    <w:pitch w:val="default"/>
    <w:sig w:usb0="00000000" w:usb1="00000000" w:usb2="00000012" w:usb3="00000000" w:csb0="003E01BD"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03D4D"/>
    <w:rsid w:val="00013BA5"/>
    <w:rsid w:val="0008236C"/>
    <w:rsid w:val="000D0CEE"/>
    <w:rsid w:val="000E28EE"/>
    <w:rsid w:val="000F4C31"/>
    <w:rsid w:val="00107138"/>
    <w:rsid w:val="001D69E6"/>
    <w:rsid w:val="0021735B"/>
    <w:rsid w:val="00267E33"/>
    <w:rsid w:val="00276B44"/>
    <w:rsid w:val="002D14A4"/>
    <w:rsid w:val="00321CB0"/>
    <w:rsid w:val="003359C5"/>
    <w:rsid w:val="0038505A"/>
    <w:rsid w:val="003D7994"/>
    <w:rsid w:val="003E7B49"/>
    <w:rsid w:val="004741F5"/>
    <w:rsid w:val="00481DC8"/>
    <w:rsid w:val="004A4DC6"/>
    <w:rsid w:val="004F030C"/>
    <w:rsid w:val="0057562B"/>
    <w:rsid w:val="005F2BA1"/>
    <w:rsid w:val="00624888"/>
    <w:rsid w:val="006546AF"/>
    <w:rsid w:val="006728E8"/>
    <w:rsid w:val="0068744E"/>
    <w:rsid w:val="00690908"/>
    <w:rsid w:val="00726D96"/>
    <w:rsid w:val="007638F8"/>
    <w:rsid w:val="00771DF3"/>
    <w:rsid w:val="007C061D"/>
    <w:rsid w:val="008513BE"/>
    <w:rsid w:val="008D42F5"/>
    <w:rsid w:val="008F6D1A"/>
    <w:rsid w:val="009673D6"/>
    <w:rsid w:val="009A3CA3"/>
    <w:rsid w:val="009A79C5"/>
    <w:rsid w:val="009D1D8F"/>
    <w:rsid w:val="009E2B18"/>
    <w:rsid w:val="00AE3242"/>
    <w:rsid w:val="00AE503B"/>
    <w:rsid w:val="00B33F53"/>
    <w:rsid w:val="00B643C3"/>
    <w:rsid w:val="00B8463D"/>
    <w:rsid w:val="00BB1CB1"/>
    <w:rsid w:val="00BD640A"/>
    <w:rsid w:val="00C12CA0"/>
    <w:rsid w:val="00C240E0"/>
    <w:rsid w:val="00C822D2"/>
    <w:rsid w:val="00D205D6"/>
    <w:rsid w:val="00D36566"/>
    <w:rsid w:val="00D41D33"/>
    <w:rsid w:val="00D74F36"/>
    <w:rsid w:val="00DB2A5C"/>
    <w:rsid w:val="00E6336D"/>
    <w:rsid w:val="00E803C1"/>
    <w:rsid w:val="00E907C4"/>
    <w:rsid w:val="00EA4465"/>
    <w:rsid w:val="00EC7755"/>
    <w:rsid w:val="00ED6AF3"/>
    <w:rsid w:val="00F20361"/>
    <w:rsid w:val="00F23714"/>
    <w:rsid w:val="00F679AD"/>
    <w:rsid w:val="00F67E8A"/>
    <w:rsid w:val="00F974AD"/>
    <w:rsid w:val="00FB6A68"/>
    <w:rsid w:val="00FC65D2"/>
    <w:rsid w:val="7DFDF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3597</Words>
  <Characters>20508</Characters>
  <Lines>170</Lines>
  <Paragraphs>48</Paragraphs>
  <TotalTime>244</TotalTime>
  <ScaleCrop>false</ScaleCrop>
  <LinksUpToDate>false</LinksUpToDate>
  <CharactersWithSpaces>24057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2024-02-20T14:31:31Z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